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F5" w:rsidRPr="00591C25" w:rsidRDefault="001A45F5" w:rsidP="001A45F5">
      <w:pPr>
        <w:jc w:val="center"/>
        <w:rPr>
          <w:rFonts w:asciiTheme="majorHAnsi" w:hAnsiTheme="majorHAnsi"/>
          <w:b/>
        </w:rPr>
      </w:pPr>
      <w:r w:rsidRPr="00591C25">
        <w:rPr>
          <w:rFonts w:asciiTheme="majorHAnsi" w:hAnsiTheme="majorHAnsi"/>
          <w:b/>
        </w:rPr>
        <w:t>Domaine</w:t>
      </w:r>
      <w:r w:rsidR="007F42C5" w:rsidRPr="00591C25">
        <w:rPr>
          <w:rFonts w:asciiTheme="majorHAnsi" w:hAnsiTheme="majorHAnsi"/>
          <w:b/>
        </w:rPr>
        <w:t>s</w:t>
      </w:r>
      <w:r w:rsidRPr="00591C25">
        <w:rPr>
          <w:rFonts w:asciiTheme="majorHAnsi" w:hAnsiTheme="majorHAnsi"/>
          <w:b/>
        </w:rPr>
        <w:t xml:space="preserve"> de compétence des enseignants habilités à diriger  </w:t>
      </w:r>
    </w:p>
    <w:p w:rsidR="00F30180" w:rsidRPr="00591C25" w:rsidRDefault="001A45F5" w:rsidP="001A45F5">
      <w:pPr>
        <w:jc w:val="center"/>
        <w:rPr>
          <w:rFonts w:asciiTheme="majorHAnsi" w:hAnsiTheme="majorHAnsi"/>
          <w:b/>
        </w:rPr>
      </w:pPr>
      <w:proofErr w:type="gramStart"/>
      <w:r w:rsidRPr="00591C25">
        <w:rPr>
          <w:rFonts w:asciiTheme="majorHAnsi" w:hAnsiTheme="majorHAnsi"/>
          <w:b/>
        </w:rPr>
        <w:t>un</w:t>
      </w:r>
      <w:proofErr w:type="gramEnd"/>
      <w:r w:rsidRPr="00591C25">
        <w:rPr>
          <w:rFonts w:asciiTheme="majorHAnsi" w:hAnsiTheme="majorHAnsi"/>
          <w:b/>
        </w:rPr>
        <w:t xml:space="preserve"> mémoire de Master I et de Master II</w:t>
      </w:r>
    </w:p>
    <w:p w:rsidR="00F30180" w:rsidRPr="00591C25" w:rsidRDefault="00F30180">
      <w:pPr>
        <w:rPr>
          <w:rFonts w:asciiTheme="majorHAnsi" w:hAnsiTheme="majorHAnsi"/>
        </w:rPr>
      </w:pPr>
    </w:p>
    <w:p w:rsidR="00F30180" w:rsidRPr="00591C25" w:rsidRDefault="00F30180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:rsidR="007E378F" w:rsidRPr="00591C25" w:rsidRDefault="001A45F5" w:rsidP="001A45F5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En fonc</w:t>
      </w:r>
      <w:r w:rsidR="00484417" w:rsidRPr="00591C25">
        <w:rPr>
          <w:rFonts w:asciiTheme="majorHAnsi" w:hAnsiTheme="majorHAnsi" w:cs="Tahoma"/>
        </w:rPr>
        <w:t>tion de leurs centres d’intérêt</w:t>
      </w:r>
      <w:r w:rsidRPr="00591C25">
        <w:rPr>
          <w:rFonts w:asciiTheme="majorHAnsi" w:hAnsiTheme="majorHAnsi" w:cs="Tahoma"/>
        </w:rPr>
        <w:t xml:space="preserve">, les étudiants </w:t>
      </w:r>
      <w:r w:rsidR="007E378F" w:rsidRPr="00591C25">
        <w:rPr>
          <w:rFonts w:asciiTheme="majorHAnsi" w:hAnsiTheme="majorHAnsi" w:cs="Tahoma"/>
        </w:rPr>
        <w:t>de</w:t>
      </w:r>
      <w:r w:rsidRPr="00591C25">
        <w:rPr>
          <w:rFonts w:asciiTheme="majorHAnsi" w:hAnsiTheme="majorHAnsi" w:cs="Tahoma"/>
        </w:rPr>
        <w:t xml:space="preserve"> Master voudront bien contacter un des quatre enseignants suivants pour diriger leur travail de recherche. Nous leur recommandons de faire </w:t>
      </w:r>
      <w:r w:rsidR="00484417" w:rsidRPr="00591C25">
        <w:rPr>
          <w:rFonts w:asciiTheme="majorHAnsi" w:hAnsiTheme="majorHAnsi" w:cs="Tahoma"/>
        </w:rPr>
        <w:t xml:space="preserve">cela </w:t>
      </w:r>
      <w:r w:rsidRPr="00591C25">
        <w:rPr>
          <w:rFonts w:asciiTheme="majorHAnsi" w:hAnsiTheme="majorHAnsi" w:cs="Tahoma"/>
        </w:rPr>
        <w:t>le plus tôt possible</w:t>
      </w:r>
      <w:r w:rsidR="007E378F" w:rsidRPr="00591C25">
        <w:rPr>
          <w:rFonts w:asciiTheme="majorHAnsi" w:hAnsiTheme="majorHAnsi" w:cs="Tahoma"/>
        </w:rPr>
        <w:t>, éventuellement dès la L3 pour les étudiants qui s’apprêtent à s’inscrire en Master I</w:t>
      </w:r>
      <w:r w:rsidRPr="00591C25">
        <w:rPr>
          <w:rFonts w:asciiTheme="majorHAnsi" w:hAnsiTheme="majorHAnsi" w:cs="Tahoma"/>
        </w:rPr>
        <w:t xml:space="preserve">. </w:t>
      </w:r>
    </w:p>
    <w:p w:rsidR="001A45F5" w:rsidRPr="00591C25" w:rsidRDefault="001A45F5" w:rsidP="001A45F5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 xml:space="preserve">Nous rappelons </w:t>
      </w:r>
      <w:r w:rsidR="007E378F" w:rsidRPr="00591C25">
        <w:rPr>
          <w:rFonts w:asciiTheme="majorHAnsi" w:hAnsiTheme="majorHAnsi" w:cs="Tahoma"/>
        </w:rPr>
        <w:t xml:space="preserve">également aux étudiants de Master I </w:t>
      </w:r>
      <w:r w:rsidRPr="00591C25">
        <w:rPr>
          <w:rFonts w:asciiTheme="majorHAnsi" w:hAnsiTheme="majorHAnsi" w:cs="Tahoma"/>
        </w:rPr>
        <w:t>qu</w:t>
      </w:r>
      <w:r w:rsidR="007E378F" w:rsidRPr="00591C25">
        <w:rPr>
          <w:rFonts w:asciiTheme="majorHAnsi" w:hAnsiTheme="majorHAnsi" w:cs="Tahoma"/>
        </w:rPr>
        <w:t xml:space="preserve">’il est obligatoire de </w:t>
      </w:r>
      <w:r w:rsidRPr="00591C25">
        <w:rPr>
          <w:rFonts w:asciiTheme="majorHAnsi" w:hAnsiTheme="majorHAnsi" w:cs="Tahoma"/>
        </w:rPr>
        <w:t>dép</w:t>
      </w:r>
      <w:r w:rsidR="007E378F" w:rsidRPr="00591C25">
        <w:rPr>
          <w:rFonts w:asciiTheme="majorHAnsi" w:hAnsiTheme="majorHAnsi" w:cs="Tahoma"/>
        </w:rPr>
        <w:t xml:space="preserve">oser auprès du secrétariat un formulaire </w:t>
      </w:r>
      <w:r w:rsidR="00484417" w:rsidRPr="00591C25">
        <w:rPr>
          <w:rFonts w:asciiTheme="majorHAnsi" w:hAnsiTheme="majorHAnsi" w:cs="Tahoma"/>
        </w:rPr>
        <w:t xml:space="preserve">(à demander au secrétariat) </w:t>
      </w:r>
      <w:r w:rsidR="007E378F" w:rsidRPr="00591C25">
        <w:rPr>
          <w:rFonts w:asciiTheme="majorHAnsi" w:hAnsiTheme="majorHAnsi" w:cs="Tahoma"/>
        </w:rPr>
        <w:t>spécifiant le</w:t>
      </w:r>
      <w:r w:rsidR="00484417" w:rsidRPr="00591C25">
        <w:rPr>
          <w:rFonts w:asciiTheme="majorHAnsi" w:hAnsiTheme="majorHAnsi" w:cs="Tahoma"/>
        </w:rPr>
        <w:t>ur sujet de mémoire, ce</w:t>
      </w:r>
      <w:r w:rsidR="007E378F" w:rsidRPr="00591C25">
        <w:rPr>
          <w:rFonts w:asciiTheme="majorHAnsi" w:hAnsiTheme="majorHAnsi" w:cs="Tahoma"/>
        </w:rPr>
        <w:t xml:space="preserve"> </w:t>
      </w:r>
      <w:r w:rsidR="00484417" w:rsidRPr="00591C25">
        <w:rPr>
          <w:rFonts w:asciiTheme="majorHAnsi" w:hAnsiTheme="majorHAnsi" w:cs="Tahoma"/>
        </w:rPr>
        <w:t>dès les premières semaines qui suivent la rentrée</w:t>
      </w:r>
      <w:r w:rsidR="007E378F" w:rsidRPr="00591C25">
        <w:rPr>
          <w:rFonts w:asciiTheme="majorHAnsi" w:hAnsiTheme="majorHAnsi" w:cs="Tahoma"/>
        </w:rPr>
        <w:t>.</w:t>
      </w:r>
      <w:r w:rsidR="00484417" w:rsidRPr="00591C25">
        <w:rPr>
          <w:rFonts w:asciiTheme="majorHAnsi" w:hAnsiTheme="majorHAnsi" w:cs="Tahoma"/>
        </w:rPr>
        <w:t xml:space="preserve"> Ce formulaire doit être signé par leur directeur de recherche.</w:t>
      </w:r>
    </w:p>
    <w:p w:rsidR="005627E5" w:rsidRPr="00591C25" w:rsidRDefault="005627E5" w:rsidP="001A45F5">
      <w:pPr>
        <w:widowControl w:val="0"/>
        <w:autoSpaceDE w:val="0"/>
        <w:autoSpaceDN w:val="0"/>
        <w:adjustRightInd w:val="0"/>
        <w:ind w:firstLine="284"/>
        <w:jc w:val="both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Les étudiants souhaitant s’inscrire en Master II doivent remplir un dossier</w:t>
      </w:r>
      <w:r w:rsidR="00484417" w:rsidRPr="00591C25">
        <w:rPr>
          <w:rFonts w:asciiTheme="majorHAnsi" w:hAnsiTheme="majorHAnsi" w:cs="Tahoma"/>
        </w:rPr>
        <w:t xml:space="preserve"> qui spécifiera le nom de leur directeur de recherche et le thème de leur recherche</w:t>
      </w:r>
      <w:r w:rsidRPr="00591C25">
        <w:rPr>
          <w:rFonts w:asciiTheme="majorHAnsi" w:hAnsiTheme="majorHAnsi" w:cs="Tahoma"/>
        </w:rPr>
        <w:t xml:space="preserve"> </w:t>
      </w:r>
      <w:r w:rsidR="00484417" w:rsidRPr="00591C25">
        <w:rPr>
          <w:rFonts w:asciiTheme="majorHAnsi" w:hAnsiTheme="majorHAnsi" w:cs="Tahoma"/>
        </w:rPr>
        <w:t>(de</w:t>
      </w:r>
      <w:r w:rsidRPr="00591C25">
        <w:rPr>
          <w:rFonts w:asciiTheme="majorHAnsi" w:hAnsiTheme="majorHAnsi" w:cs="Tahoma"/>
        </w:rPr>
        <w:t xml:space="preserve">mander </w:t>
      </w:r>
      <w:r w:rsidR="00484417" w:rsidRPr="00591C25">
        <w:rPr>
          <w:rFonts w:asciiTheme="majorHAnsi" w:hAnsiTheme="majorHAnsi" w:cs="Tahoma"/>
        </w:rPr>
        <w:t xml:space="preserve">ce dossier </w:t>
      </w:r>
      <w:r w:rsidRPr="00591C25">
        <w:rPr>
          <w:rFonts w:asciiTheme="majorHAnsi" w:hAnsiTheme="majorHAnsi" w:cs="Tahoma"/>
        </w:rPr>
        <w:t>au secrétariat</w:t>
      </w:r>
      <w:r w:rsidR="00484417" w:rsidRPr="00591C25">
        <w:rPr>
          <w:rFonts w:asciiTheme="majorHAnsi" w:hAnsiTheme="majorHAnsi" w:cs="Tahoma"/>
        </w:rPr>
        <w:t>)</w:t>
      </w:r>
      <w:r w:rsidRPr="00591C25">
        <w:rPr>
          <w:rFonts w:asciiTheme="majorHAnsi" w:hAnsiTheme="majorHAnsi" w:cs="Tahoma"/>
        </w:rPr>
        <w:t xml:space="preserve">. </w:t>
      </w:r>
    </w:p>
    <w:p w:rsidR="001A45F5" w:rsidRPr="00591C25" w:rsidRDefault="001A45F5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:rsidR="00F30180" w:rsidRPr="00591C25" w:rsidRDefault="00F30180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:rsidR="001A45F5" w:rsidRPr="00591C25" w:rsidRDefault="001A45F5" w:rsidP="001A45F5">
      <w:pPr>
        <w:rPr>
          <w:rFonts w:asciiTheme="majorHAnsi" w:hAnsiTheme="majorHAnsi"/>
        </w:rPr>
      </w:pPr>
      <w:r w:rsidRPr="00591C25">
        <w:rPr>
          <w:rFonts w:asciiTheme="majorHAnsi" w:hAnsiTheme="majorHAnsi"/>
        </w:rPr>
        <w:t xml:space="preserve">M. Vladimir BELIAKOV </w:t>
      </w:r>
      <w:r w:rsidRPr="00591C25">
        <w:rPr>
          <w:rFonts w:asciiTheme="majorHAnsi" w:hAnsiTheme="majorHAnsi" w:cs="Tahoma"/>
          <w:b/>
        </w:rPr>
        <w:t>Linguistique</w:t>
      </w:r>
    </w:p>
    <w:p w:rsidR="001A45F5" w:rsidRPr="00591C25" w:rsidRDefault="001A45F5" w:rsidP="001A45F5">
      <w:pPr>
        <w:rPr>
          <w:rFonts w:asciiTheme="majorHAnsi" w:hAnsiTheme="majorHAnsi"/>
        </w:rPr>
      </w:pPr>
    </w:p>
    <w:p w:rsidR="001A45F5" w:rsidRPr="00591C25" w:rsidRDefault="001A45F5" w:rsidP="001A45F5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Sémantique lexicale</w:t>
      </w:r>
    </w:p>
    <w:p w:rsidR="001A45F5" w:rsidRPr="00591C25" w:rsidRDefault="001A45F5" w:rsidP="001A45F5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Phraséologie</w:t>
      </w:r>
    </w:p>
    <w:p w:rsidR="001A45F5" w:rsidRPr="00591C25" w:rsidRDefault="001A45F5" w:rsidP="001A45F5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Morphologie</w:t>
      </w:r>
    </w:p>
    <w:p w:rsidR="001A45F5" w:rsidRPr="00591C25" w:rsidRDefault="001A45F5" w:rsidP="001A45F5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Analyse du discours</w:t>
      </w:r>
    </w:p>
    <w:p w:rsidR="005627E5" w:rsidRPr="00591C25" w:rsidRDefault="005627E5" w:rsidP="00892FB0">
      <w:pPr>
        <w:pStyle w:val="Paragraphedeliste"/>
        <w:ind w:left="1287"/>
        <w:rPr>
          <w:rFonts w:asciiTheme="majorHAnsi" w:hAnsiTheme="majorHAnsi"/>
        </w:rPr>
      </w:pPr>
    </w:p>
    <w:p w:rsidR="005627E5" w:rsidRPr="00591C25" w:rsidRDefault="00591C25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hyperlink r:id="rId6" w:history="1">
        <w:r w:rsidR="005627E5" w:rsidRPr="00591C25">
          <w:rPr>
            <w:rStyle w:val="Lienhypertexte"/>
            <w:rFonts w:asciiTheme="majorHAnsi" w:hAnsiTheme="majorHAnsi" w:cs="Tahoma"/>
          </w:rPr>
          <w:t>beliakov@univ-tlse2.fr</w:t>
        </w:r>
      </w:hyperlink>
    </w:p>
    <w:p w:rsidR="005627E5" w:rsidRPr="00591C25" w:rsidRDefault="005627E5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:rsidR="005627E5" w:rsidRPr="00591C25" w:rsidRDefault="005627E5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:rsidR="00F30180" w:rsidRPr="00591C25" w:rsidRDefault="00963F40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Mme Christel KAPPS</w:t>
      </w:r>
      <w:r w:rsidR="008B7EC3" w:rsidRPr="00591C25">
        <w:rPr>
          <w:rFonts w:asciiTheme="majorHAnsi" w:hAnsiTheme="majorHAnsi" w:cs="Tahoma"/>
        </w:rPr>
        <w:t xml:space="preserve"> </w:t>
      </w:r>
      <w:r w:rsidR="008B7EC3" w:rsidRPr="00591C25">
        <w:rPr>
          <w:rFonts w:asciiTheme="majorHAnsi" w:hAnsiTheme="majorHAnsi" w:cs="Tahoma"/>
          <w:b/>
        </w:rPr>
        <w:t>Linguistique, histoire de l’art</w:t>
      </w:r>
    </w:p>
    <w:p w:rsidR="00F30180" w:rsidRPr="00591C25" w:rsidRDefault="00F30180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 </w:t>
      </w:r>
    </w:p>
    <w:p w:rsidR="00F30180" w:rsidRPr="00591C25" w:rsidRDefault="00F30180" w:rsidP="00CF453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Syntaxe</w:t>
      </w:r>
    </w:p>
    <w:p w:rsidR="00F30180" w:rsidRPr="00591C25" w:rsidRDefault="00F30180" w:rsidP="00CF453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Morphosyntaxe</w:t>
      </w:r>
    </w:p>
    <w:p w:rsidR="00F30180" w:rsidRPr="00591C25" w:rsidRDefault="00F30180" w:rsidP="00CF453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Didactique des langues</w:t>
      </w:r>
    </w:p>
    <w:p w:rsidR="00F30180" w:rsidRPr="00591C25" w:rsidRDefault="00F30180" w:rsidP="00CF453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Histoire de l’art</w:t>
      </w:r>
      <w:r w:rsidRPr="00591C25">
        <w:rPr>
          <w:rFonts w:asciiTheme="majorHAnsi" w:hAnsiTheme="majorHAnsi" w:cs="Tahoma"/>
          <w:u w:val="single"/>
        </w:rPr>
        <w:t xml:space="preserve"> </w:t>
      </w:r>
      <w:r w:rsidRPr="00591C25">
        <w:rPr>
          <w:rFonts w:asciiTheme="majorHAnsi" w:hAnsiTheme="majorHAnsi" w:cs="Tahoma"/>
        </w:rPr>
        <w:t>(</w:t>
      </w:r>
      <w:r w:rsidR="00591C25">
        <w:rPr>
          <w:rFonts w:asciiTheme="majorHAnsi" w:hAnsiTheme="majorHAnsi" w:cs="Tahoma"/>
        </w:rPr>
        <w:t>architecture et</w:t>
      </w:r>
      <w:r w:rsidRPr="00591C25">
        <w:rPr>
          <w:rFonts w:asciiTheme="majorHAnsi" w:hAnsiTheme="majorHAnsi" w:cs="Tahoma"/>
        </w:rPr>
        <w:t xml:space="preserve"> peinture)</w:t>
      </w:r>
      <w:r w:rsidR="00CF4531" w:rsidRPr="00591C25">
        <w:rPr>
          <w:rFonts w:asciiTheme="majorHAnsi" w:hAnsiTheme="majorHAnsi" w:cs="Tahoma"/>
        </w:rPr>
        <w:t> :</w:t>
      </w:r>
    </w:p>
    <w:p w:rsidR="00CF4531" w:rsidRPr="00591C25" w:rsidRDefault="00CF4531" w:rsidP="006161AF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Le mouvement art nouveau dans la Russie tsariste (architecture, arts appliqués, …)</w:t>
      </w:r>
      <w:bookmarkStart w:id="0" w:name="_GoBack"/>
      <w:bookmarkEnd w:id="0"/>
    </w:p>
    <w:p w:rsidR="00CF4531" w:rsidRPr="00591C25" w:rsidRDefault="00CF4531" w:rsidP="00CF4531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L’éclectisme dans l’architecture</w:t>
      </w:r>
    </w:p>
    <w:p w:rsidR="00CF4531" w:rsidRPr="00591C25" w:rsidRDefault="00CF4531" w:rsidP="00CF4531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Le style néo-russe</w:t>
      </w:r>
    </w:p>
    <w:p w:rsidR="00CF4531" w:rsidRPr="00591C25" w:rsidRDefault="00CF4531" w:rsidP="00CF4531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L’architecture religieuse</w:t>
      </w:r>
    </w:p>
    <w:p w:rsidR="00CF4531" w:rsidRPr="00591C25" w:rsidRDefault="00CF4531" w:rsidP="00CF4531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Les différents styles dans les arts appliqués (Palex, Xoxloma…)</w:t>
      </w:r>
    </w:p>
    <w:p w:rsidR="005627E5" w:rsidRPr="00591C25" w:rsidRDefault="005627E5" w:rsidP="005627E5">
      <w:pPr>
        <w:pStyle w:val="Paragraphedeliste"/>
        <w:widowControl w:val="0"/>
        <w:autoSpaceDE w:val="0"/>
        <w:autoSpaceDN w:val="0"/>
        <w:adjustRightInd w:val="0"/>
        <w:ind w:left="1440"/>
        <w:rPr>
          <w:rFonts w:asciiTheme="majorHAnsi" w:hAnsiTheme="majorHAnsi" w:cs="Tahoma"/>
        </w:rPr>
      </w:pPr>
    </w:p>
    <w:p w:rsidR="00CF4531" w:rsidRPr="00591C25" w:rsidRDefault="00591C25" w:rsidP="00CF4531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  <w:hyperlink r:id="rId7" w:history="1">
        <w:r w:rsidR="005627E5" w:rsidRPr="00591C25">
          <w:rPr>
            <w:rStyle w:val="Lienhypertexte"/>
            <w:rFonts w:asciiTheme="majorHAnsi" w:hAnsiTheme="majorHAnsi" w:cs="Tahoma"/>
          </w:rPr>
          <w:t>christel.kapps@univ-tlse2.fr</w:t>
        </w:r>
      </w:hyperlink>
    </w:p>
    <w:p w:rsidR="005627E5" w:rsidRPr="00591C25" w:rsidRDefault="005627E5" w:rsidP="00CF4531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:rsidR="00F30180" w:rsidRPr="00591C25" w:rsidRDefault="00F30180">
      <w:pPr>
        <w:rPr>
          <w:rFonts w:asciiTheme="majorHAnsi" w:hAnsiTheme="majorHAnsi"/>
        </w:rPr>
      </w:pPr>
    </w:p>
    <w:p w:rsidR="008D0606" w:rsidRPr="00591C25" w:rsidRDefault="008D0606">
      <w:pPr>
        <w:rPr>
          <w:rFonts w:asciiTheme="majorHAnsi" w:hAnsiTheme="majorHAnsi"/>
        </w:rPr>
      </w:pPr>
    </w:p>
    <w:p w:rsidR="00F30180" w:rsidRPr="00591C25" w:rsidRDefault="005627E5">
      <w:pPr>
        <w:rPr>
          <w:rFonts w:asciiTheme="majorHAnsi" w:hAnsiTheme="majorHAnsi"/>
        </w:rPr>
      </w:pPr>
      <w:r w:rsidRPr="00591C25">
        <w:rPr>
          <w:rFonts w:asciiTheme="majorHAnsi" w:hAnsiTheme="majorHAnsi"/>
        </w:rPr>
        <w:t>Mm</w:t>
      </w:r>
      <w:r w:rsidR="00963F40" w:rsidRPr="00591C25">
        <w:rPr>
          <w:rFonts w:asciiTheme="majorHAnsi" w:hAnsiTheme="majorHAnsi"/>
        </w:rPr>
        <w:t>e Dany SAVELLI</w:t>
      </w:r>
      <w:r w:rsidR="008B7EC3" w:rsidRPr="00591C25">
        <w:rPr>
          <w:rFonts w:asciiTheme="majorHAnsi" w:hAnsiTheme="majorHAnsi"/>
        </w:rPr>
        <w:t xml:space="preserve"> </w:t>
      </w:r>
      <w:r w:rsidR="008B7EC3" w:rsidRPr="00591C25">
        <w:rPr>
          <w:rFonts w:asciiTheme="majorHAnsi" w:hAnsiTheme="majorHAnsi"/>
          <w:b/>
        </w:rPr>
        <w:t>Littérature, Civilisation</w:t>
      </w:r>
      <w:r w:rsidR="001A45F5" w:rsidRPr="00591C25">
        <w:rPr>
          <w:rFonts w:asciiTheme="majorHAnsi" w:hAnsiTheme="majorHAnsi"/>
          <w:b/>
        </w:rPr>
        <w:t>, Histoire de l’art</w:t>
      </w:r>
    </w:p>
    <w:p w:rsidR="00F30180" w:rsidRPr="00591C25" w:rsidRDefault="00F30180" w:rsidP="00F30180">
      <w:pPr>
        <w:widowControl w:val="0"/>
        <w:autoSpaceDE w:val="0"/>
        <w:autoSpaceDN w:val="0"/>
        <w:adjustRightInd w:val="0"/>
        <w:rPr>
          <w:rFonts w:asciiTheme="majorHAnsi" w:hAnsiTheme="majorHAnsi" w:cs="Tahoma"/>
        </w:rPr>
      </w:pPr>
    </w:p>
    <w:p w:rsidR="00F30180" w:rsidRPr="00591C25" w:rsidRDefault="00F30180" w:rsidP="00E663E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L'imaginaire de l’Asie dans la littéra</w:t>
      </w:r>
      <w:r w:rsidR="000C1959" w:rsidRPr="00591C25">
        <w:rPr>
          <w:rFonts w:asciiTheme="majorHAnsi" w:hAnsiTheme="majorHAnsi" w:cs="Tahoma"/>
        </w:rPr>
        <w:t>ture, l'art et la pensée russes (</w:t>
      </w:r>
      <w:r w:rsidRPr="00591C25">
        <w:rPr>
          <w:rFonts w:asciiTheme="majorHAnsi" w:hAnsiTheme="majorHAnsi" w:cs="Tahoma"/>
        </w:rPr>
        <w:t xml:space="preserve">littérature, </w:t>
      </w:r>
      <w:r w:rsidRPr="00591C25">
        <w:rPr>
          <w:rFonts w:asciiTheme="majorHAnsi" w:hAnsiTheme="majorHAnsi" w:cs="Tahoma"/>
        </w:rPr>
        <w:lastRenderedPageBreak/>
        <w:t>histoi</w:t>
      </w:r>
      <w:r w:rsidR="000C1959" w:rsidRPr="00591C25">
        <w:rPr>
          <w:rFonts w:asciiTheme="majorHAnsi" w:hAnsiTheme="majorHAnsi" w:cs="Tahoma"/>
        </w:rPr>
        <w:t>re de l'art, histoire des idées) </w:t>
      </w:r>
    </w:p>
    <w:p w:rsidR="00F30180" w:rsidRPr="00591C25" w:rsidRDefault="00F30180" w:rsidP="00E663E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Les relations russo-asiatiques (histoire)</w:t>
      </w:r>
    </w:p>
    <w:p w:rsidR="00F30180" w:rsidRPr="00591C25" w:rsidRDefault="00F30180" w:rsidP="00E663E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La Sibérie (histoire, imagologie)</w:t>
      </w:r>
    </w:p>
    <w:p w:rsidR="00F30180" w:rsidRPr="00591C25" w:rsidRDefault="00F30180" w:rsidP="00E663E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Le bouddhisme et les Nouveaux</w:t>
      </w:r>
      <w:r w:rsidR="007E378F" w:rsidRPr="00591C25">
        <w:rPr>
          <w:rFonts w:asciiTheme="majorHAnsi" w:hAnsiTheme="majorHAnsi" w:cs="Tahoma"/>
        </w:rPr>
        <w:t xml:space="preserve"> Mouvements Religieux en Russie</w:t>
      </w:r>
      <w:r w:rsidRPr="00591C25">
        <w:rPr>
          <w:rFonts w:asciiTheme="majorHAnsi" w:hAnsiTheme="majorHAnsi" w:cs="Tahoma"/>
        </w:rPr>
        <w:t xml:space="preserve"> (histoire, études religieuses)</w:t>
      </w:r>
    </w:p>
    <w:p w:rsidR="00F30180" w:rsidRPr="00591C25" w:rsidRDefault="00F30180" w:rsidP="00E663E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ahoma"/>
        </w:rPr>
      </w:pPr>
      <w:r w:rsidRPr="00591C25">
        <w:rPr>
          <w:rFonts w:asciiTheme="majorHAnsi" w:hAnsiTheme="majorHAnsi" w:cs="Tahoma"/>
        </w:rPr>
        <w:t>L'histoire des idées en Russie au XIXe siècle</w:t>
      </w:r>
      <w:r w:rsidR="001A45F5" w:rsidRPr="00591C25">
        <w:rPr>
          <w:rFonts w:asciiTheme="majorHAnsi" w:hAnsiTheme="majorHAnsi" w:cs="Tahoma"/>
        </w:rPr>
        <w:t xml:space="preserve"> et </w:t>
      </w:r>
      <w:r w:rsidR="007E378F" w:rsidRPr="00591C25">
        <w:rPr>
          <w:rFonts w:asciiTheme="majorHAnsi" w:hAnsiTheme="majorHAnsi" w:cs="Tahoma"/>
        </w:rPr>
        <w:t xml:space="preserve">au </w:t>
      </w:r>
      <w:r w:rsidR="001A45F5" w:rsidRPr="00591C25">
        <w:rPr>
          <w:rFonts w:asciiTheme="majorHAnsi" w:hAnsiTheme="majorHAnsi" w:cs="Tahoma"/>
        </w:rPr>
        <w:t>début du XXe siècle</w:t>
      </w:r>
      <w:r w:rsidRPr="00591C25">
        <w:rPr>
          <w:rFonts w:asciiTheme="majorHAnsi" w:hAnsiTheme="majorHAnsi" w:cs="Tahoma"/>
        </w:rPr>
        <w:t>.</w:t>
      </w:r>
    </w:p>
    <w:p w:rsidR="005627E5" w:rsidRPr="00591C25" w:rsidRDefault="005627E5" w:rsidP="005627E5">
      <w:pPr>
        <w:pStyle w:val="Paragraphedeliste"/>
        <w:widowControl w:val="0"/>
        <w:autoSpaceDE w:val="0"/>
        <w:autoSpaceDN w:val="0"/>
        <w:adjustRightInd w:val="0"/>
        <w:ind w:left="1287"/>
        <w:rPr>
          <w:rFonts w:asciiTheme="majorHAnsi" w:hAnsiTheme="majorHAnsi" w:cs="Tahoma"/>
        </w:rPr>
      </w:pPr>
    </w:p>
    <w:p w:rsidR="00F30180" w:rsidRPr="00591C25" w:rsidRDefault="00591C25">
      <w:pPr>
        <w:rPr>
          <w:rFonts w:asciiTheme="majorHAnsi" w:hAnsiTheme="majorHAnsi"/>
        </w:rPr>
      </w:pPr>
      <w:hyperlink r:id="rId8" w:history="1">
        <w:r w:rsidR="005627E5" w:rsidRPr="00591C25">
          <w:rPr>
            <w:rStyle w:val="Lienhypertexte"/>
            <w:rFonts w:asciiTheme="majorHAnsi" w:hAnsiTheme="majorHAnsi"/>
          </w:rPr>
          <w:t>dany.savelli@wanadoo.fr</w:t>
        </w:r>
      </w:hyperlink>
    </w:p>
    <w:p w:rsidR="005627E5" w:rsidRPr="00591C25" w:rsidRDefault="005627E5">
      <w:pPr>
        <w:rPr>
          <w:rFonts w:asciiTheme="majorHAnsi" w:hAnsiTheme="majorHAnsi"/>
        </w:rPr>
      </w:pPr>
    </w:p>
    <w:p w:rsidR="00963F40" w:rsidRPr="00591C25" w:rsidRDefault="00963F40">
      <w:pPr>
        <w:rPr>
          <w:rFonts w:asciiTheme="majorHAnsi" w:hAnsiTheme="majorHAnsi"/>
        </w:rPr>
      </w:pPr>
    </w:p>
    <w:p w:rsidR="008D0606" w:rsidRPr="00591C25" w:rsidRDefault="008D0606">
      <w:pPr>
        <w:rPr>
          <w:rFonts w:asciiTheme="majorHAnsi" w:hAnsiTheme="majorHAnsi"/>
        </w:rPr>
      </w:pPr>
    </w:p>
    <w:p w:rsidR="00963F40" w:rsidRPr="00591C25" w:rsidRDefault="00E663E3">
      <w:pPr>
        <w:rPr>
          <w:rFonts w:asciiTheme="majorHAnsi" w:hAnsiTheme="majorHAnsi"/>
        </w:rPr>
      </w:pPr>
      <w:r w:rsidRPr="00591C25">
        <w:rPr>
          <w:rFonts w:asciiTheme="majorHAnsi" w:hAnsiTheme="majorHAnsi"/>
        </w:rPr>
        <w:t xml:space="preserve">Mme </w:t>
      </w:r>
      <w:r w:rsidR="001572A5" w:rsidRPr="00591C25">
        <w:rPr>
          <w:rFonts w:asciiTheme="majorHAnsi" w:hAnsiTheme="majorHAnsi"/>
        </w:rPr>
        <w:t>Anna Zaytseva</w:t>
      </w:r>
      <w:r w:rsidR="008B7EC3" w:rsidRPr="00591C25">
        <w:rPr>
          <w:rFonts w:asciiTheme="majorHAnsi" w:hAnsiTheme="majorHAnsi"/>
        </w:rPr>
        <w:t xml:space="preserve"> </w:t>
      </w:r>
      <w:r w:rsidR="008B7EC3" w:rsidRPr="00591C25">
        <w:rPr>
          <w:rFonts w:asciiTheme="majorHAnsi" w:hAnsiTheme="majorHAnsi"/>
          <w:b/>
        </w:rPr>
        <w:t>Littérature, Civilisation</w:t>
      </w:r>
    </w:p>
    <w:p w:rsidR="00963F40" w:rsidRPr="00591C25" w:rsidRDefault="00963F40">
      <w:pPr>
        <w:rPr>
          <w:rFonts w:asciiTheme="majorHAnsi" w:hAnsiTheme="majorHAnsi"/>
        </w:rPr>
      </w:pPr>
    </w:p>
    <w:p w:rsidR="00F30180" w:rsidRPr="00591C25" w:rsidRDefault="001572A5">
      <w:pPr>
        <w:rPr>
          <w:rFonts w:asciiTheme="majorHAnsi" w:hAnsiTheme="majorHAnsi"/>
        </w:rPr>
      </w:pPr>
      <w:r w:rsidRPr="00591C25">
        <w:rPr>
          <w:rFonts w:asciiTheme="majorHAnsi" w:hAnsiTheme="majorHAnsi"/>
        </w:rPr>
        <w:tab/>
      </w:r>
    </w:p>
    <w:p w:rsidR="00EF2CA9" w:rsidRPr="00591C25" w:rsidRDefault="00EF2CA9" w:rsidP="00EF2CA9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Vie sociale, culturelle et politique de la Russie contemporaine</w:t>
      </w:r>
    </w:p>
    <w:p w:rsidR="00EF2CA9" w:rsidRPr="00591C25" w:rsidRDefault="00EF2CA9" w:rsidP="00EF2CA9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Institutions politiques</w:t>
      </w:r>
    </w:p>
    <w:p w:rsidR="00EF2CA9" w:rsidRPr="00591C25" w:rsidRDefault="00EF2CA9" w:rsidP="00EF2CA9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Cultures jeunes et modes de vie</w:t>
      </w:r>
    </w:p>
    <w:p w:rsidR="00EF2CA9" w:rsidRPr="00591C25" w:rsidRDefault="00EF2CA9" w:rsidP="00EF2CA9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Art contemporain et industries culturelles</w:t>
      </w:r>
    </w:p>
    <w:p w:rsidR="00EF2CA9" w:rsidRPr="00591C25" w:rsidRDefault="00EF2CA9" w:rsidP="00EF2CA9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Urbanisme et patrimoine en Russie contemporaine</w:t>
      </w:r>
    </w:p>
    <w:p w:rsidR="00EF2CA9" w:rsidRPr="00591C25" w:rsidRDefault="00EF2CA9" w:rsidP="00EF2CA9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Le religieux dans l’espace public</w:t>
      </w:r>
    </w:p>
    <w:p w:rsidR="00EF2CA9" w:rsidRPr="00591C25" w:rsidRDefault="00EF2CA9" w:rsidP="00EF2CA9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91C25">
        <w:rPr>
          <w:rFonts w:asciiTheme="majorHAnsi" w:hAnsiTheme="majorHAnsi"/>
        </w:rPr>
        <w:t>Formes de protestation et de dissidence</w:t>
      </w:r>
    </w:p>
    <w:p w:rsidR="00F30180" w:rsidRPr="00591C25" w:rsidRDefault="00F30180">
      <w:pPr>
        <w:rPr>
          <w:rFonts w:asciiTheme="majorHAnsi" w:hAnsiTheme="majorHAnsi"/>
        </w:rPr>
      </w:pPr>
    </w:p>
    <w:p w:rsidR="00F30180" w:rsidRPr="00591C25" w:rsidRDefault="00591C25">
      <w:pPr>
        <w:rPr>
          <w:rFonts w:asciiTheme="majorHAnsi" w:hAnsiTheme="majorHAnsi"/>
        </w:rPr>
      </w:pPr>
      <w:hyperlink r:id="rId9" w:history="1">
        <w:r w:rsidR="005627E5" w:rsidRPr="00591C25">
          <w:rPr>
            <w:rStyle w:val="Lienhypertexte"/>
            <w:rFonts w:asciiTheme="majorHAnsi" w:hAnsiTheme="majorHAnsi"/>
          </w:rPr>
          <w:t>anna.zaytseva@univ-tlse2.fr</w:t>
        </w:r>
      </w:hyperlink>
    </w:p>
    <w:p w:rsidR="005627E5" w:rsidRPr="00591C25" w:rsidRDefault="005627E5">
      <w:pPr>
        <w:rPr>
          <w:rFonts w:asciiTheme="majorHAnsi" w:hAnsiTheme="majorHAnsi"/>
        </w:rPr>
      </w:pPr>
    </w:p>
    <w:p w:rsidR="00F30180" w:rsidRPr="00591C25" w:rsidRDefault="00F30180">
      <w:pPr>
        <w:rPr>
          <w:rFonts w:asciiTheme="majorHAnsi" w:hAnsiTheme="majorHAnsi"/>
        </w:rPr>
      </w:pPr>
    </w:p>
    <w:p w:rsidR="00F30180" w:rsidRPr="00591C25" w:rsidRDefault="00F30180">
      <w:pPr>
        <w:rPr>
          <w:rFonts w:asciiTheme="majorHAnsi" w:hAnsiTheme="majorHAnsi"/>
        </w:rPr>
      </w:pPr>
    </w:p>
    <w:p w:rsidR="00F30180" w:rsidRPr="00591C25" w:rsidRDefault="00F30180">
      <w:pPr>
        <w:rPr>
          <w:rFonts w:asciiTheme="majorHAnsi" w:hAnsiTheme="majorHAnsi"/>
        </w:rPr>
      </w:pPr>
    </w:p>
    <w:sectPr w:rsidR="00F30180" w:rsidRPr="00591C25" w:rsidSect="00F301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efa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5017"/>
    <w:multiLevelType w:val="hybridMultilevel"/>
    <w:tmpl w:val="72C8F744"/>
    <w:lvl w:ilvl="0" w:tplc="6C021840">
      <w:start w:val="1"/>
      <w:numFmt w:val="bullet"/>
      <w:lvlText w:val="•"/>
      <w:lvlJc w:val="left"/>
      <w:pPr>
        <w:ind w:left="1440" w:hanging="360"/>
      </w:pPr>
      <w:rPr>
        <w:rFonts w:ascii="Kefa" w:hAnsi="Kef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B7725"/>
    <w:multiLevelType w:val="multilevel"/>
    <w:tmpl w:val="72C8F744"/>
    <w:lvl w:ilvl="0">
      <w:start w:val="1"/>
      <w:numFmt w:val="bullet"/>
      <w:lvlText w:val="•"/>
      <w:lvlJc w:val="left"/>
      <w:pPr>
        <w:ind w:left="1440" w:hanging="360"/>
      </w:pPr>
      <w:rPr>
        <w:rFonts w:ascii="Kefa" w:hAnsi="Kefa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79A2"/>
    <w:multiLevelType w:val="hybridMultilevel"/>
    <w:tmpl w:val="11DA5602"/>
    <w:lvl w:ilvl="0" w:tplc="C71653E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A47CBB"/>
    <w:multiLevelType w:val="hybridMultilevel"/>
    <w:tmpl w:val="D47E655C"/>
    <w:lvl w:ilvl="0" w:tplc="BDDE89EE">
      <w:start w:val="1"/>
      <w:numFmt w:val="bullet"/>
      <w:lvlText w:val=""/>
      <w:lvlJc w:val="left"/>
      <w:pPr>
        <w:ind w:left="128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D5500"/>
    <w:multiLevelType w:val="hybridMultilevel"/>
    <w:tmpl w:val="6FD6FEA6"/>
    <w:lvl w:ilvl="0" w:tplc="BDDE89EE">
      <w:start w:val="1"/>
      <w:numFmt w:val="bullet"/>
      <w:lvlText w:val=""/>
      <w:lvlJc w:val="left"/>
      <w:pPr>
        <w:ind w:left="128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33526"/>
    <w:multiLevelType w:val="hybridMultilevel"/>
    <w:tmpl w:val="683061D2"/>
    <w:lvl w:ilvl="0" w:tplc="BDDE89EE">
      <w:start w:val="1"/>
      <w:numFmt w:val="bullet"/>
      <w:lvlText w:val=""/>
      <w:lvlJc w:val="left"/>
      <w:pPr>
        <w:ind w:left="1287" w:hanging="34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7306A"/>
    <w:multiLevelType w:val="multilevel"/>
    <w:tmpl w:val="683061D2"/>
    <w:lvl w:ilvl="0">
      <w:start w:val="1"/>
      <w:numFmt w:val="bullet"/>
      <w:lvlText w:val=""/>
      <w:lvlJc w:val="left"/>
      <w:pPr>
        <w:ind w:left="128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30180"/>
    <w:rsid w:val="00034AD4"/>
    <w:rsid w:val="00041954"/>
    <w:rsid w:val="000C1959"/>
    <w:rsid w:val="001572A5"/>
    <w:rsid w:val="001A45F5"/>
    <w:rsid w:val="00280C95"/>
    <w:rsid w:val="00363A08"/>
    <w:rsid w:val="00484417"/>
    <w:rsid w:val="005627E5"/>
    <w:rsid w:val="00591C25"/>
    <w:rsid w:val="006161AF"/>
    <w:rsid w:val="00744E7A"/>
    <w:rsid w:val="007A314C"/>
    <w:rsid w:val="007E378F"/>
    <w:rsid w:val="007F42C5"/>
    <w:rsid w:val="00892FB0"/>
    <w:rsid w:val="008B7EC3"/>
    <w:rsid w:val="008D0606"/>
    <w:rsid w:val="00963F40"/>
    <w:rsid w:val="00A05D68"/>
    <w:rsid w:val="00B540AE"/>
    <w:rsid w:val="00C133EF"/>
    <w:rsid w:val="00CF4531"/>
    <w:rsid w:val="00E663E3"/>
    <w:rsid w:val="00EF2CA9"/>
    <w:rsid w:val="00F30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3C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3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2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y.savelli@wanadoo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ristel.kapps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iakov@univ-tlse2.f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a.zaytseva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beliakov</dc:creator>
  <cp:lastModifiedBy>Christel KAPPS</cp:lastModifiedBy>
  <cp:revision>11</cp:revision>
  <dcterms:created xsi:type="dcterms:W3CDTF">2018-06-26T14:06:00Z</dcterms:created>
  <dcterms:modified xsi:type="dcterms:W3CDTF">2021-06-30T15:46:00Z</dcterms:modified>
</cp:coreProperties>
</file>